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F72" w:rsidRPr="00DB2520" w:rsidRDefault="00841F72" w:rsidP="00841F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B2520">
        <w:rPr>
          <w:rFonts w:ascii="Times New Roman" w:eastAsia="Calibri" w:hAnsi="Times New Roman" w:cs="Times New Roman"/>
          <w:b/>
          <w:sz w:val="28"/>
          <w:szCs w:val="28"/>
        </w:rPr>
        <w:t xml:space="preserve">3.2 Рекомендации по написанию контрольной работы </w:t>
      </w:r>
    </w:p>
    <w:p w:rsidR="00841F72" w:rsidRPr="00DB2520" w:rsidRDefault="00841F72" w:rsidP="00841F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B2520">
        <w:rPr>
          <w:rFonts w:ascii="Times New Roman" w:eastAsia="Calibri" w:hAnsi="Times New Roman" w:cs="Times New Roman"/>
          <w:b/>
          <w:sz w:val="28"/>
          <w:szCs w:val="28"/>
        </w:rPr>
        <w:t>для обучающихся на заочной форме</w:t>
      </w:r>
    </w:p>
    <w:p w:rsidR="00841F72" w:rsidRPr="00DB2520" w:rsidRDefault="00841F72" w:rsidP="00841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заочной формы обучения в соответствии с учебным планом выполняют по дисциплине контрольную работу. </w:t>
      </w:r>
    </w:p>
    <w:p w:rsidR="00841F72" w:rsidRPr="00DB2520" w:rsidRDefault="00841F72" w:rsidP="00841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тему. </w:t>
      </w:r>
    </w:p>
    <w:p w:rsidR="00841F72" w:rsidRPr="00DB2520" w:rsidRDefault="00841F72" w:rsidP="00841F72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При подготовке контрольной работы обучающемуся необходимо обратить внимание на:</w:t>
      </w:r>
    </w:p>
    <w:p w:rsidR="00841F72" w:rsidRPr="00DB2520" w:rsidRDefault="00841F72" w:rsidP="00841F72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DB2520">
        <w:rPr>
          <w:rFonts w:ascii="Times New Roman" w:eastAsia="Times New Roman" w:hAnsi="Times New Roman" w:cs="Calibri"/>
          <w:sz w:val="28"/>
          <w:szCs w:val="28"/>
        </w:rPr>
        <w:t xml:space="preserve">степень раскрытия сущности вопроса (соответствие содержания вопросам контрольной работы; полнота и глубина раскрытия основных понятий; умение работать с литературой, систематизировать и структурировать материал; умение обобщать, сопоставлять различные точки зрения по рассматриваемым вопросам, аргументировать основные положения и выводы, </w:t>
      </w:r>
      <w:r w:rsidRPr="00DB2520">
        <w:rPr>
          <w:rFonts w:ascii="Times New Roman" w:eastAsia="TimesNewRoman" w:hAnsi="Times New Roman" w:cs="Calibri"/>
          <w:sz w:val="28"/>
          <w:szCs w:val="28"/>
        </w:rPr>
        <w:t>обобщающие авторскую позицию по поставленным проблемам);</w:t>
      </w:r>
    </w:p>
    <w:p w:rsidR="00841F72" w:rsidRPr="00DB2520" w:rsidRDefault="00841F72" w:rsidP="00841F72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DB2520">
        <w:rPr>
          <w:rFonts w:ascii="Times New Roman" w:eastAsia="Times New Roman" w:hAnsi="Times New Roman" w:cs="Calibri"/>
          <w:sz w:val="28"/>
          <w:szCs w:val="28"/>
        </w:rPr>
        <w:t xml:space="preserve">соблюдение требований по оформлению (правильное оформление текста контрольной работы, ссылок на используемые информационные источники (не менее 5 источников); соблюдение требований к объему (не менее 20 страниц); грамотность и культура изложения. </w:t>
      </w:r>
    </w:p>
    <w:p w:rsidR="00841F72" w:rsidRPr="00DB2520" w:rsidRDefault="00841F72" w:rsidP="00841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Обучающимся в процессе написания контрольной работы необходимо выполнить ряд требований по оформлению: </w:t>
      </w:r>
    </w:p>
    <w:p w:rsidR="00841F72" w:rsidRPr="00DB2520" w:rsidRDefault="00841F72" w:rsidP="00841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 1. Титульный лист с указанием варианта.</w:t>
      </w:r>
    </w:p>
    <w:p w:rsidR="00841F72" w:rsidRPr="00DB2520" w:rsidRDefault="00841F72" w:rsidP="00841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 2. Текст должен быть написан грамотно в редакторе </w:t>
      </w:r>
      <w:proofErr w:type="spellStart"/>
      <w:r w:rsidRPr="00DB2520">
        <w:rPr>
          <w:rFonts w:ascii="Times New Roman" w:eastAsia="Calibri" w:hAnsi="Times New Roman" w:cs="Times New Roman"/>
          <w:sz w:val="28"/>
          <w:szCs w:val="28"/>
        </w:rPr>
        <w:t>Word</w:t>
      </w:r>
      <w:proofErr w:type="spellEnd"/>
      <w:r w:rsidRPr="00DB2520">
        <w:rPr>
          <w:rFonts w:ascii="Times New Roman" w:eastAsia="Calibri" w:hAnsi="Times New Roman" w:cs="Times New Roman"/>
          <w:sz w:val="28"/>
          <w:szCs w:val="28"/>
        </w:rPr>
        <w:t>. По правилам:</w:t>
      </w:r>
    </w:p>
    <w:p w:rsidR="00841F72" w:rsidRPr="00DB2520" w:rsidRDefault="00841F72" w:rsidP="00841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– без рамок, соблюдая следующие размеры:</w:t>
      </w:r>
    </w:p>
    <w:p w:rsidR="00841F72" w:rsidRPr="00DB2520" w:rsidRDefault="00841F72" w:rsidP="00841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– расстояние от левого края страницы до границ текста –30 мм;</w:t>
      </w:r>
    </w:p>
    <w:p w:rsidR="00841F72" w:rsidRPr="00DB2520" w:rsidRDefault="00841F72" w:rsidP="00841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– расстояние от верхней и нижней строки текста до верхнего и нижнего краев страницы – 20 мм;</w:t>
      </w:r>
    </w:p>
    <w:p w:rsidR="00841F72" w:rsidRPr="00DB2520" w:rsidRDefault="00841F72" w:rsidP="00841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– расстояние от правого края страницы до текста – 10 мм;</w:t>
      </w:r>
    </w:p>
    <w:p w:rsidR="00841F72" w:rsidRPr="00DB2520" w:rsidRDefault="00841F72" w:rsidP="00841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B252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DB2520">
        <w:rPr>
          <w:rFonts w:ascii="Times New Roman" w:eastAsia="Calibri" w:hAnsi="Times New Roman" w:cs="Times New Roman"/>
          <w:sz w:val="28"/>
          <w:szCs w:val="28"/>
        </w:rPr>
        <w:t>гарнитура</w:t>
      </w:r>
      <w:proofErr w:type="gramEnd"/>
      <w:r w:rsidRPr="00DB252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B2520">
        <w:rPr>
          <w:rFonts w:ascii="Times New Roman" w:eastAsia="Calibri" w:hAnsi="Times New Roman" w:cs="Times New Roman"/>
          <w:sz w:val="28"/>
          <w:szCs w:val="28"/>
        </w:rPr>
        <w:t>шрифта</w:t>
      </w:r>
      <w:r w:rsidRPr="00DB252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Times New Roman;</w:t>
      </w:r>
    </w:p>
    <w:p w:rsidR="00841F72" w:rsidRPr="00DB2520" w:rsidRDefault="00841F72" w:rsidP="00841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– размер шрифта для основного текста – 14;</w:t>
      </w:r>
    </w:p>
    <w:p w:rsidR="00841F72" w:rsidRPr="00DB2520" w:rsidRDefault="00841F72" w:rsidP="00841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– междустрочный интервал – 1,5</w:t>
      </w:r>
    </w:p>
    <w:p w:rsidR="00841F72" w:rsidRPr="00DB2520" w:rsidRDefault="00841F72" w:rsidP="00841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– размер шрифта для примечаний, ссылок – 12;</w:t>
      </w:r>
    </w:p>
    <w:p w:rsidR="00841F72" w:rsidRPr="00DB2520" w:rsidRDefault="00841F72" w:rsidP="00841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– абзацный отступ –1,25 мм;</w:t>
      </w:r>
    </w:p>
    <w:p w:rsidR="00841F72" w:rsidRPr="00DB2520" w:rsidRDefault="00841F72" w:rsidP="00841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– выравнивание основного текста – по ширине страницы. </w:t>
      </w:r>
    </w:p>
    <w:p w:rsidR="00841F72" w:rsidRPr="00DB2520" w:rsidRDefault="00841F72" w:rsidP="00841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841F72" w:rsidRPr="00DB2520" w:rsidRDefault="00841F72" w:rsidP="00841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 Все части работы необходимо озаглавить, станицы – пронумеровать; </w:t>
      </w:r>
    </w:p>
    <w:p w:rsidR="00841F72" w:rsidRPr="00DB2520" w:rsidRDefault="00841F72" w:rsidP="00841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520">
        <w:rPr>
          <w:rFonts w:ascii="Times New Roman" w:eastAsia="Calibri" w:hAnsi="Times New Roman" w:cs="Times New Roman"/>
          <w:sz w:val="28"/>
          <w:szCs w:val="28"/>
        </w:rPr>
        <w:t>5. Работу должен заканчивать перечень использованных информационных ресурсов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:rsidR="00841F72" w:rsidRPr="00DB2520" w:rsidRDefault="00841F72" w:rsidP="00841F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контрольной работы должно соответствовать Правилам оформления </w:t>
      </w:r>
      <w:proofErr w:type="gramStart"/>
      <w:r w:rsidRPr="00DB252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письменных работ</w:t>
      </w:r>
      <w:proofErr w:type="gramEnd"/>
      <w:r w:rsidRPr="00DB2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для гуманитарных направлений подготовки, утвержденных и введенных в действие приказом ректора ДГТУ № 242 от 16.12.2020 г.</w:t>
      </w:r>
    </w:p>
    <w:p w:rsidR="00841F72" w:rsidRPr="00EA7459" w:rsidRDefault="00841F72" w:rsidP="00841F72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7459">
        <w:rPr>
          <w:rFonts w:ascii="Times New Roman" w:hAnsi="Times New Roman" w:cs="Times New Roman"/>
          <w:color w:val="000000"/>
          <w:sz w:val="28"/>
          <w:szCs w:val="28"/>
        </w:rPr>
        <w:t>Номер темы контрольной работы зависит от начальной буквы фамилии обучающегося и определяется на основе данных приведенной ниже таблицы.</w:t>
      </w:r>
    </w:p>
    <w:p w:rsidR="00841F72" w:rsidRPr="00EA7459" w:rsidRDefault="00841F72" w:rsidP="00841F72">
      <w:pPr>
        <w:spacing w:after="0" w:line="240" w:lineRule="auto"/>
        <w:ind w:left="720"/>
        <w:rPr>
          <w:rFonts w:ascii="Times New Roman" w:eastAsia="Times New Roman" w:hAnsi="Times New Roman" w:cs="Calibri"/>
          <w:sz w:val="28"/>
          <w:szCs w:val="28"/>
        </w:rPr>
      </w:pPr>
      <w:r w:rsidRPr="00EA7459">
        <w:rPr>
          <w:rFonts w:ascii="Times New Roman" w:eastAsia="Times New Roman" w:hAnsi="Times New Roman" w:cs="Calibri"/>
          <w:sz w:val="28"/>
          <w:szCs w:val="28"/>
        </w:rPr>
        <w:t>Таблица 4 – Варианты контрольных работ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темы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Д, Е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Ж, З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Щ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24, 26</w:t>
            </w:r>
          </w:p>
        </w:tc>
      </w:tr>
      <w:tr w:rsidR="00841F72" w:rsidRPr="00EA7459" w:rsidTr="007223D2">
        <w:tc>
          <w:tcPr>
            <w:tcW w:w="4390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819" w:type="dxa"/>
            <w:shd w:val="clear" w:color="auto" w:fill="auto"/>
          </w:tcPr>
          <w:p w:rsidR="00841F72" w:rsidRPr="00EA7459" w:rsidRDefault="00841F72" w:rsidP="0072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841F72" w:rsidRPr="00EA7459" w:rsidRDefault="00841F72" w:rsidP="00841F72">
      <w:pPr>
        <w:spacing w:after="0" w:line="240" w:lineRule="auto"/>
        <w:rPr>
          <w:rFonts w:ascii="Times New Roman" w:eastAsia="Times New Roman" w:hAnsi="Times New Roman" w:cs="Calibri"/>
          <w:sz w:val="28"/>
          <w:szCs w:val="28"/>
        </w:rPr>
      </w:pPr>
    </w:p>
    <w:p w:rsidR="00841F72" w:rsidRPr="00374523" w:rsidRDefault="00841F72" w:rsidP="00841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контрольной работе проводится устный опрос (зачет контрольной работы), после которого обучающийся приступает к сдаче промежуточной аттестации в форме зачета. </w:t>
      </w:r>
    </w:p>
    <w:p w:rsidR="00841F72" w:rsidRPr="00374523" w:rsidRDefault="00841F72" w:rsidP="00841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результатам устного опроса по контрольной работе обучающемуся выставляется оценка «зачтено», или «не зачтено».</w:t>
      </w:r>
    </w:p>
    <w:p w:rsidR="00841F72" w:rsidRPr="00374523" w:rsidRDefault="00841F72" w:rsidP="00841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«зачтено» по контрольной работе выставляется обучающемуся, если: </w:t>
      </w:r>
    </w:p>
    <w:p w:rsidR="00841F72" w:rsidRPr="00374523" w:rsidRDefault="00841F72" w:rsidP="00841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841F72" w:rsidRPr="00374523" w:rsidRDefault="00841F72" w:rsidP="00841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841F72" w:rsidRPr="00374523" w:rsidRDefault="00841F72" w:rsidP="00841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дополнительные вопросы преподавателя, обучающийся дал правильные или частично правильные ответы;</w:t>
      </w:r>
    </w:p>
    <w:p w:rsidR="00841F72" w:rsidRPr="00374523" w:rsidRDefault="00841F72" w:rsidP="00841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выполнены в полном объеме.</w:t>
      </w:r>
    </w:p>
    <w:p w:rsidR="00841F72" w:rsidRPr="00374523" w:rsidRDefault="00841F72" w:rsidP="00841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сформированы на базовом уровне (уровень 1) (см. табл. 1).</w:t>
      </w:r>
    </w:p>
    <w:p w:rsidR="00841F72" w:rsidRPr="00374523" w:rsidRDefault="00841F72" w:rsidP="00841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«не зачтено» по контрольной работе ставится обучающемуся, если: </w:t>
      </w:r>
    </w:p>
    <w:p w:rsidR="00841F72" w:rsidRPr="00374523" w:rsidRDefault="00841F72" w:rsidP="00841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841F72" w:rsidRPr="00374523" w:rsidRDefault="00841F72" w:rsidP="00841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841F72" w:rsidRPr="00374523" w:rsidRDefault="00841F72" w:rsidP="00841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841F72" w:rsidRPr="00374523" w:rsidRDefault="00841F72" w:rsidP="00841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не выполнены в полном объеме.</w:t>
      </w:r>
    </w:p>
    <w:p w:rsidR="00841F72" w:rsidRPr="00374523" w:rsidRDefault="00841F72" w:rsidP="00841F7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не сформированы.</w:t>
      </w:r>
    </w:p>
    <w:p w:rsidR="00841F72" w:rsidRPr="00EA7459" w:rsidRDefault="00841F72" w:rsidP="00841F72">
      <w:pPr>
        <w:spacing w:after="0" w:line="240" w:lineRule="auto"/>
        <w:ind w:firstLine="18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41F72" w:rsidRPr="00EA7459" w:rsidRDefault="00841F72" w:rsidP="00841F7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74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Перечень тем контрольных работ</w:t>
      </w:r>
    </w:p>
    <w:p w:rsidR="00841F72" w:rsidRPr="00EA7459" w:rsidRDefault="00841F72" w:rsidP="00841F7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1. Понятие, возникновение и структура государственно-частного партнерства. Концептуальные основы партнерства государства и частного сектора.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2. Международный опыт взаимодействия государства и частного бизнеса.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 xml:space="preserve">3. Сферы взаимодействия государства и частного бизнеса. Участники государственно-частного партнерства. 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 xml:space="preserve">4. Законодательное обеспечение взаимодействия государства и частного бизнеса. 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5. Информационно-аналитическое обеспечение государственно-частного партнерства.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 xml:space="preserve">6. Государственно-частное партнерство как форма проектного финансирования. 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lastRenderedPageBreak/>
        <w:t>7. Опыт реализации концессионных соглашений в РФ.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 xml:space="preserve">8. Система соглашений о разделе продукции. 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 xml:space="preserve">9. Государственный контракт. Государственные гарантии. 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 xml:space="preserve">10. Особенности режима особой экономической зоны (особых экономических зон технико-внедренческого типа). 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 xml:space="preserve">11. Налоговая и субсидиарная поддержка предпринимательства. 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12. Бизнес-инкубаторы. Промышленные площадки (технопарки).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13. Технологии социального партнерства.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14. Права и обязанности заказчика, уполномоченного органа, специализированной организации при размещении заказа.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15. Содержание процедуры размещения заказа.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16. Условия допуска к проведению торгов участников размещения заказа. Критерии и порядок оценки заявок на участие в конкурсе, котировочных заявок.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17. Оценка эффективности размещения заказа. Возможные типичные ошибки участников торгов.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18. Структура государственных и муниципальных контрактов.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19. Опыт заключения государственных и муниципальных контрактов. основные термины и определения, используемые в контрактном праве и при составлении государственного контракта.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20. Особенности государственного контракта как вида договора; терминология условий поставок, включая международные термины ИНКОТЕРМС.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21. Цена контракта и условия платежа. Сроки, условия вступления контракта в силу; ответственность сторон; инспектирование и приемка продукции; обеспечение исполнения контрактов.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22. Рассмотрении споров; обстоятельства непреодолимой силы.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23. Порядок ведения реестра государственных и муниципальных контрактов.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24. Роль государственно-частного партнерства в формировании и развитии конкурентной среды на уровне национальной экономики и отрасли.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 xml:space="preserve">25. Возможности консолидации ресурсов бизнеса и государства по решению совместных задач развития экономики и отрасли. </w:t>
      </w:r>
    </w:p>
    <w:p w:rsidR="00841F72" w:rsidRPr="00EA7459" w:rsidRDefault="00841F72" w:rsidP="00841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59">
        <w:rPr>
          <w:rFonts w:ascii="Times New Roman" w:hAnsi="Times New Roman" w:cs="Times New Roman"/>
          <w:sz w:val="28"/>
          <w:szCs w:val="28"/>
        </w:rPr>
        <w:t>26. Пути повышения эффективности использования бюджетных средств для решения общественных задач за счет средств бизнеса под гарантии государства.</w:t>
      </w:r>
    </w:p>
    <w:p w:rsidR="00841F72" w:rsidRPr="00EA7459" w:rsidRDefault="00841F72" w:rsidP="00841F72">
      <w:pPr>
        <w:spacing w:after="200" w:line="240" w:lineRule="auto"/>
        <w:ind w:left="720"/>
        <w:rPr>
          <w:rFonts w:ascii="Times New Roman" w:eastAsia="Times New Roman" w:hAnsi="Times New Roman" w:cs="Calibri"/>
          <w:sz w:val="28"/>
          <w:szCs w:val="28"/>
        </w:rPr>
      </w:pPr>
    </w:p>
    <w:p w:rsidR="00E24AF6" w:rsidRDefault="00E24AF6">
      <w:bookmarkStart w:id="0" w:name="_GoBack"/>
      <w:bookmarkEnd w:id="0"/>
    </w:p>
    <w:sectPr w:rsidR="00E24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39A"/>
    <w:rsid w:val="0014539A"/>
    <w:rsid w:val="00841F72"/>
    <w:rsid w:val="00E2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95A93-5748-4412-AB62-D69BE038C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Ястремская Наталья Юрьевна</dc:creator>
  <cp:keywords/>
  <dc:description/>
  <cp:lastModifiedBy>Ястремская Наталья Юрьевна</cp:lastModifiedBy>
  <cp:revision>2</cp:revision>
  <dcterms:created xsi:type="dcterms:W3CDTF">2022-09-27T09:18:00Z</dcterms:created>
  <dcterms:modified xsi:type="dcterms:W3CDTF">2022-09-27T09:19:00Z</dcterms:modified>
</cp:coreProperties>
</file>